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75" w:rsidRDefault="00767F75">
      <w:pPr>
        <w:rPr>
          <w:rFonts w:hAnsi="Times New Roman" w:cs="Times New Roman"/>
          <w:color w:val="000000"/>
          <w:sz w:val="24"/>
          <w:szCs w:val="24"/>
        </w:rPr>
      </w:pPr>
    </w:p>
    <w:p w:rsidR="00767F75" w:rsidRPr="006C0303" w:rsidRDefault="00BC05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6C0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  <w:r w:rsidRPr="006C0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учетной</w:t>
      </w:r>
      <w:r w:rsidRPr="006C0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политики</w:t>
      </w:r>
      <w:r w:rsidRPr="006C0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6C0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выдержки</w:t>
      </w:r>
      <w:r w:rsidRPr="006C0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767F75" w:rsidRPr="006C0303" w:rsidRDefault="006C03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КЦСОН Верхнеуральского муниципального района</w:t>
      </w:r>
    </w:p>
    <w:p w:rsidR="00767F75" w:rsidRPr="006C0303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«Учетная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ошибки»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30.12.2017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274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учетной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7F75" w:rsidRPr="006C0303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Учетная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КЦСОН Верхнеуральского муниципального района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утверждена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29.12.2017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68 с дальнейшими изменениями и дополнениями, внесенными отдельными приказами по учреждению.</w:t>
      </w:r>
    </w:p>
    <w:p w:rsidR="00767F75" w:rsidRPr="006C0303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Бухгалтерский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структурное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подразделение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бухгалтерия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возглавляемая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главным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бухгалтером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бухгалтерии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руководствуются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бухгалтерии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7F75" w:rsidRPr="006C0303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7F75" w:rsidRPr="006C0303" w:rsidRDefault="006C030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Бухгалтерский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программных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«Бухгалтерия»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«Зарплата»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7F75" w:rsidRPr="006C0303" w:rsidRDefault="006C030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кан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алов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бухгалтерия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67F75" w:rsidRPr="006C0303" w:rsidRDefault="00BC053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территориальным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казначейства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67F75" w:rsidRDefault="00BC053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передача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бухгалтерской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учредит</w:t>
      </w:r>
      <w:r>
        <w:rPr>
          <w:rFonts w:hAnsi="Times New Roman" w:cs="Times New Roman"/>
          <w:color w:val="000000"/>
          <w:sz w:val="24"/>
          <w:szCs w:val="24"/>
        </w:rPr>
        <w:t>елю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7F75" w:rsidRDefault="00BC053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налогам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сборам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платежам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инспекцию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налоговой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службы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7F75" w:rsidRPr="006C0303" w:rsidRDefault="00BC053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отделение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Пенсионного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67F75" w:rsidRPr="006C0303" w:rsidRDefault="00BC053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bus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gov</w:t>
      </w:r>
      <w:proofErr w:type="spellEnd"/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7F75" w:rsidRPr="006C0303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оф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ормлении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унифицированные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учетных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52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оформлении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типовые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установленн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учетной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7F75" w:rsidRPr="006C0303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Бухучет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первичным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проверены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сотрудниками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бухгалтерии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внутреннем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финансовом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67F75" w:rsidRPr="006C0303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Инвентаризация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обязатель</w:t>
      </w:r>
      <w:proofErr w:type="gramStart"/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ств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оводится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учетной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политике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ежегодными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7F75" w:rsidRPr="006C0303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стандартах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актах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регулирующих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бухучет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справедливой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выбирает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7F75" w:rsidRPr="006C0303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показателя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учетной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величина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оценочного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показателя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суждением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бухгалтера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7F75" w:rsidRPr="006C0303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нез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ависимо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полезного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штампы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печати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«Инвентарь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хозяйственный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приведен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="006C0303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7F75" w:rsidRPr="006C0303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11.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инвентарный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признаваемый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комплексом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объединяются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несущественной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одинаковые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полезного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ожидаемого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67F75" w:rsidRPr="006C0303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12.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существенной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20 000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имущественный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конкретный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объединяемых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комисси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7F75" w:rsidRDefault="00BC0539">
      <w:pPr>
        <w:rPr>
          <w:rFonts w:hAnsi="Times New Roman" w:cs="Times New Roman"/>
          <w:color w:val="000000"/>
          <w:sz w:val="24"/>
          <w:szCs w:val="24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13.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Затраты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замене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составных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конструктивно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сочлененных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капитальном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ремонте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списывается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текущие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заменяемых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выбываемых</w:t>
      </w:r>
      <w:proofErr w:type="spellEnd"/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составных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67F75" w:rsidRDefault="00BC053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машины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7F75" w:rsidRDefault="00BC053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транспортные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7F75" w:rsidRDefault="00BC053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инвентарь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хозяйственный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7F75" w:rsidRDefault="00BC053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многолет</w:t>
      </w:r>
      <w:r>
        <w:rPr>
          <w:rFonts w:hAnsi="Times New Roman" w:cs="Times New Roman"/>
          <w:color w:val="000000"/>
          <w:sz w:val="24"/>
          <w:szCs w:val="24"/>
        </w:rPr>
        <w:t>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насаждения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67F75" w:rsidRDefault="00BC0539">
      <w:pPr>
        <w:rPr>
          <w:rFonts w:hAnsi="Times New Roman" w:cs="Times New Roman"/>
          <w:color w:val="000000"/>
          <w:sz w:val="24"/>
          <w:szCs w:val="24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14.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частичной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разукомплектации</w:t>
      </w:r>
      <w:proofErr w:type="spellEnd"/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ликвидируемых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разукомплектованных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выделена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пропорционально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следующему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показателю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убывания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важности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767F75" w:rsidRDefault="00BC053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площади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7F75" w:rsidRDefault="00BC053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7F75" w:rsidRDefault="00BC053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7F75" w:rsidRPr="006C0303" w:rsidRDefault="00BC053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показателю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установленному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7F75" w:rsidRDefault="00BC0539">
      <w:pPr>
        <w:rPr>
          <w:rFonts w:hAnsi="Times New Roman" w:cs="Times New Roman"/>
          <w:color w:val="000000"/>
          <w:sz w:val="24"/>
          <w:szCs w:val="24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15.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Затраты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регулярных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дефектов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обязат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ельным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условием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ремонтов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модернизаций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дооборудований</w:t>
      </w:r>
      <w:proofErr w:type="spellEnd"/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реконструкций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элементами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реставраций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перевооружений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формируют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капитальных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вложений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дальнейшим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признанием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учтенная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аналогичного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списывается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накопленной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амортизации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67F75" w:rsidRDefault="00BC053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машины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7F75" w:rsidRDefault="00BC053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транспортные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67F75" w:rsidRPr="006C0303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16.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Начисление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амортизации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67F75" w:rsidRPr="006C0303" w:rsidRDefault="00BC053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уменьшаемого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остатка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коэффициента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«Транспортные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средства»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компьютерное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сотовые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телефоны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67F75" w:rsidRPr="006C0303" w:rsidRDefault="00BC053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линейным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остальные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7F75" w:rsidRPr="006C0303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18.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переоценке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накопленная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амортизация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переоценки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пересчитывается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пропорционально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изменению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первоначальной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остаточная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переоценки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равнялась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переоцененной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балансовая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накопленная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амортизация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увеличиваются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умножаются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одинаковый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суммировании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переоценен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ную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переоценки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7F75" w:rsidRPr="006C0303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19.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стоимостью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10 000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включительно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находящиеся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счете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21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балансовой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7F75" w:rsidRPr="006C0303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20.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доставку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аспределяются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первоначальную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пропорционально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поставки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7F75" w:rsidRDefault="00BC0539" w:rsidP="006C03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21. </w:t>
      </w:r>
      <w:r w:rsid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Начисление амортизации на объекты НМА, которые </w:t>
      </w:r>
      <w:proofErr w:type="gramStart"/>
      <w:r w:rsidR="006C0303">
        <w:rPr>
          <w:rFonts w:hAnsi="Times New Roman" w:cs="Times New Roman"/>
          <w:color w:val="000000"/>
          <w:sz w:val="24"/>
          <w:szCs w:val="24"/>
          <w:lang w:val="ru-RU"/>
        </w:rPr>
        <w:t>используются свыше 12 месяцев производится</w:t>
      </w:r>
      <w:proofErr w:type="gramEnd"/>
      <w:r w:rsid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линейным способом. На объекты НМА с неопределенным сроком использования</w:t>
      </w:r>
      <w:r w:rsidR="00185125">
        <w:rPr>
          <w:rFonts w:hAnsi="Times New Roman" w:cs="Times New Roman"/>
          <w:color w:val="000000"/>
          <w:sz w:val="24"/>
          <w:szCs w:val="24"/>
          <w:lang w:val="ru-RU"/>
        </w:rPr>
        <w:t xml:space="preserve"> амортизация не начисляется.</w:t>
      </w:r>
    </w:p>
    <w:p w:rsidR="00185125" w:rsidRDefault="00185125" w:rsidP="006C030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Неисключительные права на НМА, используемые 12 месяцев и менее на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не учитываются.</w:t>
      </w:r>
    </w:p>
    <w:p w:rsidR="00185125" w:rsidRPr="006C0303" w:rsidRDefault="00185125" w:rsidP="006C030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Учет расходов на приобретение НМА сроком использования 12 месяцев и менее производится в составе расходов будущих периодов, если по договору срок полезного использования  выходит за пределы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гда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, в котором купили объект.</w:t>
      </w:r>
    </w:p>
    <w:p w:rsidR="00767F75" w:rsidRPr="006C0303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22.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пунк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тах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98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99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хозяйственный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приведен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="008B51A7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7F75" w:rsidRPr="008B51A7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23.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номенклатурная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реестровая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B51A7">
        <w:rPr>
          <w:rFonts w:hAnsi="Times New Roman" w:cs="Times New Roman"/>
          <w:color w:val="000000"/>
          <w:sz w:val="24"/>
          <w:szCs w:val="24"/>
          <w:lang w:val="ru-RU"/>
        </w:rPr>
        <w:t xml:space="preserve"> В случае</w:t>
      </w:r>
      <w:proofErr w:type="gramStart"/>
      <w:r w:rsidR="008B51A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8B51A7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в первичных документах поставщика единица измерения </w:t>
      </w:r>
      <w:r w:rsidR="008B51A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отличается от тех, которые использует учреждение, ответственный сотрудник оформляет акт перевода единиц измерения.</w:t>
      </w:r>
    </w:p>
    <w:p w:rsidR="00767F75" w:rsidRPr="006C0303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24.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Списание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произво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дится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фактической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7F75" w:rsidRPr="006C0303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26. </w:t>
      </w:r>
      <w:r w:rsidR="00F242B5">
        <w:rPr>
          <w:rFonts w:hAnsi="Times New Roman" w:cs="Times New Roman"/>
          <w:color w:val="000000"/>
          <w:sz w:val="24"/>
          <w:szCs w:val="24"/>
          <w:lang w:val="ru-RU"/>
        </w:rPr>
        <w:t>Затраты (расходы) учреждения распределяются по видам услуг и делятся на прямые и общехозяйственные и собираются на 109 счете</w:t>
      </w:r>
      <w:proofErr w:type="gramStart"/>
      <w:r w:rsidR="00F242B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F242B5">
        <w:rPr>
          <w:rFonts w:hAnsi="Times New Roman" w:cs="Times New Roman"/>
          <w:color w:val="000000"/>
          <w:sz w:val="24"/>
          <w:szCs w:val="24"/>
          <w:lang w:val="ru-RU"/>
        </w:rPr>
        <w:t xml:space="preserve"> По окончании каждого месяца себестоимость услуг, собранная на 109 счете списывается на счет 401.20.</w:t>
      </w:r>
    </w:p>
    <w:p w:rsidR="00767F75" w:rsidRDefault="00BC0539">
      <w:pPr>
        <w:rPr>
          <w:rFonts w:hAnsi="Times New Roman" w:cs="Times New Roman"/>
          <w:color w:val="000000"/>
          <w:sz w:val="24"/>
          <w:szCs w:val="24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27.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Денежные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выдаются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записки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согласованной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Выдача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денежных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67F75" w:rsidRPr="006C0303" w:rsidRDefault="00BC053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перечисления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зарплатную</w:t>
      </w:r>
      <w:proofErr w:type="spellEnd"/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7F75" w:rsidRPr="006C0303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28.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выдает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денежные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штатным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сотрудникам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состоят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штате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отдельного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Расчеты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выданным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суммам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установ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ленном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штатных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7F75" w:rsidRPr="006C0303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29.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Денежные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виновных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возмещение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причиненного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нефинансовым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активам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отражаются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коду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приносящая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доход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доходы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67F75" w:rsidRPr="006C0303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Возмещение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натуральной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причиненного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нефинансовым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активам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коду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активы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учитывались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7F75" w:rsidRPr="006C0303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30.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Кредиторская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востребованная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кредитором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списывается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финансовый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невостребованной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списанная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балансового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кредиторская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счете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«Задолженность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востребованная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кредиторами»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67F75" w:rsidRPr="006C0303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списывается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67F75" w:rsidRPr="006C0303" w:rsidRDefault="00BC053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истечении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отражения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67F75" w:rsidRPr="006C0303" w:rsidRDefault="00BC053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завершении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возобновления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действующ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67F75" w:rsidRDefault="00BC0539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смертью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ликвидацией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контрагента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67F75" w:rsidRPr="006C0303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34.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созд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аются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67F75" w:rsidRPr="006C0303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резерв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1F72">
        <w:rPr>
          <w:rFonts w:hAnsi="Times New Roman" w:cs="Times New Roman"/>
          <w:color w:val="000000"/>
          <w:sz w:val="24"/>
          <w:szCs w:val="24"/>
          <w:lang w:val="ru-RU"/>
        </w:rPr>
        <w:t>на оплату отпусков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резерва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приведен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="00B81F72">
        <w:rPr>
          <w:rFonts w:hAnsi="Times New Roman" w:cs="Times New Roman"/>
          <w:color w:val="000000"/>
          <w:sz w:val="24"/>
          <w:szCs w:val="24"/>
          <w:lang w:val="ru-RU"/>
        </w:rPr>
        <w:t xml:space="preserve"> 1 к приказу №30 от 08.04.2019 г.</w:t>
      </w:r>
    </w:p>
    <w:p w:rsidR="00767F75" w:rsidRPr="006C0303" w:rsidRDefault="00BC0539" w:rsidP="00B81F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B81F72">
        <w:rPr>
          <w:rFonts w:hAnsi="Times New Roman" w:cs="Times New Roman"/>
          <w:color w:val="000000"/>
          <w:sz w:val="24"/>
          <w:szCs w:val="24"/>
          <w:lang w:val="ru-RU"/>
        </w:rPr>
        <w:t>. резерв по оплате обязательств, по которым в срок не поступили расчетные документы.</w:t>
      </w:r>
    </w:p>
    <w:p w:rsidR="00767F75" w:rsidRPr="006C0303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Отдельными</w:t>
      </w:r>
      <w:r w:rsidR="00B81F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приложениями</w:t>
      </w:r>
      <w:r w:rsidR="00B81F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B81F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</w:t>
      </w:r>
      <w:r w:rsidRPr="006C0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тной</w:t>
      </w:r>
      <w:r w:rsidR="00B81F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политике</w:t>
      </w:r>
      <w:r w:rsidR="00B81F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6C0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оформлены</w:t>
      </w:r>
      <w:proofErr w:type="gramEnd"/>
      <w:r w:rsidRPr="006C03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767F75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</w:p>
    <w:p w:rsidR="00B81F72" w:rsidRPr="006C0303" w:rsidRDefault="00B81F7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Состав инвентаризационной комиссии</w:t>
      </w:r>
    </w:p>
    <w:p w:rsidR="00767F75" w:rsidRPr="006C0303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показаний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одометров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</w:p>
    <w:p w:rsidR="00767F75" w:rsidRPr="006C0303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внезапной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ревизии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кассы</w:t>
      </w:r>
    </w:p>
    <w:p w:rsidR="00767F75" w:rsidRPr="006C0303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1F72">
        <w:rPr>
          <w:rFonts w:hAnsi="Times New Roman" w:cs="Times New Roman"/>
          <w:color w:val="000000"/>
          <w:sz w:val="24"/>
          <w:szCs w:val="24"/>
          <w:lang w:val="ru-RU"/>
        </w:rPr>
        <w:t xml:space="preserve"> с которыми заключается договор о полной материальной ответственности</w:t>
      </w:r>
    </w:p>
    <w:p w:rsidR="00767F75" w:rsidRPr="006C0303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</w:p>
    <w:p w:rsidR="00767F75" w:rsidRPr="006C0303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хозяйственного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</w:p>
    <w:p w:rsidR="00767F75" w:rsidRPr="006C0303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</w:p>
    <w:p w:rsidR="00767F75" w:rsidRPr="006C0303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Номера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</w:p>
    <w:p w:rsidR="00767F75" w:rsidRPr="006C0303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образцы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1F72">
        <w:rPr>
          <w:rFonts w:hAnsi="Times New Roman" w:cs="Times New Roman"/>
          <w:color w:val="000000"/>
          <w:sz w:val="24"/>
          <w:szCs w:val="24"/>
          <w:lang w:val="ru-RU"/>
        </w:rPr>
        <w:t>неунифицированных форм первичных документов</w:t>
      </w:r>
    </w:p>
    <w:p w:rsidR="00767F75" w:rsidRPr="006C0303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ечень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подписывать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первичные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</w:p>
    <w:p w:rsidR="00767F75" w:rsidRPr="006C0303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внутреннем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финансовом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проверок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финансово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</w:p>
    <w:p w:rsidR="00767F75" w:rsidRPr="006C0303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резерва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предстоящих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выплатам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</w:p>
    <w:p w:rsidR="00767F75" w:rsidRPr="006C0303" w:rsidRDefault="00AA2D2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Порядок п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ризна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бухгалтерской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0539" w:rsidRPr="006C0303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</w:p>
    <w:p w:rsidR="00767F75" w:rsidRDefault="00BC05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учетных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отражения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303">
        <w:rPr>
          <w:rFonts w:hAnsi="Times New Roman" w:cs="Times New Roman"/>
          <w:color w:val="000000"/>
          <w:sz w:val="24"/>
          <w:szCs w:val="24"/>
          <w:lang w:val="ru-RU"/>
        </w:rPr>
        <w:t>бухучете</w:t>
      </w:r>
    </w:p>
    <w:p w:rsidR="00AA2D22" w:rsidRDefault="00AA2D2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 о служебных командировках</w:t>
      </w:r>
    </w:p>
    <w:p w:rsidR="00AA2D22" w:rsidRDefault="00AA2D2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Порядок принятия обязательств</w:t>
      </w:r>
    </w:p>
    <w:p w:rsidR="00AA2D22" w:rsidRPr="006C0303" w:rsidRDefault="00AA2D2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 о признании дебиторской задолженности сомнительной или безнадежной к взысканию.</w:t>
      </w:r>
    </w:p>
    <w:sectPr w:rsidR="00AA2D22" w:rsidRPr="006C0303" w:rsidSect="00767F7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0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258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72A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125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8B52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F808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1F51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4264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2469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476B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B96C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85125"/>
    <w:rsid w:val="002D33B1"/>
    <w:rsid w:val="002D3591"/>
    <w:rsid w:val="003514A0"/>
    <w:rsid w:val="004F7E17"/>
    <w:rsid w:val="005A05CE"/>
    <w:rsid w:val="00653AF6"/>
    <w:rsid w:val="006C0303"/>
    <w:rsid w:val="00767F75"/>
    <w:rsid w:val="008B51A7"/>
    <w:rsid w:val="00AA2D22"/>
    <w:rsid w:val="00B73A5A"/>
    <w:rsid w:val="00B81F72"/>
    <w:rsid w:val="00CD179F"/>
    <w:rsid w:val="00E438A1"/>
    <w:rsid w:val="00F01E19"/>
    <w:rsid w:val="00F2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dc:description>Подготовлено экспертами Актион-МЦФЭР</dc:description>
  <cp:lastModifiedBy>Glavbuh</cp:lastModifiedBy>
  <cp:revision>2</cp:revision>
  <cp:lastPrinted>2022-02-03T06:36:00Z</cp:lastPrinted>
  <dcterms:created xsi:type="dcterms:W3CDTF">2022-02-03T06:38:00Z</dcterms:created>
  <dcterms:modified xsi:type="dcterms:W3CDTF">2022-02-03T06:38:00Z</dcterms:modified>
</cp:coreProperties>
</file>